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96" w:rsidRDefault="008A7D96" w:rsidP="008A7D96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8A7D96">
        <w:rPr>
          <w:b/>
          <w:i/>
          <w:sz w:val="32"/>
          <w:szCs w:val="32"/>
        </w:rPr>
        <w:t>Padres: Favor de notar los siguientes póliza del Wake County School Board que aplican a la asistencia de sus niños</w:t>
      </w:r>
    </w:p>
    <w:p w:rsidR="008A7D96" w:rsidRPr="008A7D96" w:rsidRDefault="008A7D96" w:rsidP="008A7D96">
      <w:pPr>
        <w:jc w:val="center"/>
        <w:rPr>
          <w:b/>
          <w:i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735"/>
        <w:gridCol w:w="7071"/>
      </w:tblGrid>
      <w:tr w:rsidR="008A7D96" w:rsidRPr="00FE1E8B" w:rsidTr="00645E6F">
        <w:trPr>
          <w:cantSplit/>
          <w:trHeight w:val="315"/>
        </w:trPr>
        <w:tc>
          <w:tcPr>
            <w:tcW w:w="1374" w:type="dxa"/>
            <w:vMerge w:val="restart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A7D96" w:rsidRPr="00FE1E8B" w:rsidRDefault="008A7D96" w:rsidP="00645E6F">
            <w:pPr>
              <w:widowControl w:val="0"/>
              <w:spacing w:before="100" w:beforeAutospacing="1" w:after="100" w:afterAutospacing="1" w:line="240" w:lineRule="auto"/>
              <w:ind w:right="-8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6000.3</w:t>
            </w:r>
          </w:p>
        </w:tc>
        <w:tc>
          <w:tcPr>
            <w:tcW w:w="7806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A7D96" w:rsidRPr="00FE1E8B" w:rsidRDefault="008A7D96" w:rsidP="00645E6F">
            <w:pPr>
              <w:keepLines/>
              <w:widowControl w:val="0"/>
              <w:spacing w:before="100" w:beforeAutospacing="1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76347">
              <w:rPr>
                <w:rFonts w:ascii="Arial" w:eastAsia="Times New Roman" w:hAnsi="Arial" w:cs="Arial"/>
                <w:sz w:val="20"/>
                <w:szCs w:val="20"/>
              </w:rPr>
              <w:t>Una ausencias se considera excusado con justificación si existen las condiciones siguientes</w:t>
            </w: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8A7D96" w:rsidRPr="00FE1E8B" w:rsidTr="00645E6F">
        <w:trPr>
          <w:cantSplit/>
          <w:trHeight w:val="144"/>
        </w:trPr>
        <w:tc>
          <w:tcPr>
            <w:tcW w:w="0" w:type="auto"/>
            <w:vMerge/>
            <w:vAlign w:val="center"/>
            <w:hideMark/>
          </w:tcPr>
          <w:p w:rsidR="008A7D96" w:rsidRPr="00FE1E8B" w:rsidRDefault="008A7D96" w:rsidP="00645E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35" w:type="dxa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A7D96" w:rsidRPr="00FE1E8B" w:rsidRDefault="008A7D96" w:rsidP="00645E6F">
            <w:pPr>
              <w:widowControl w:val="0"/>
              <w:spacing w:before="100" w:beforeAutospacing="1" w:after="120" w:line="144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A.</w:t>
            </w:r>
          </w:p>
        </w:tc>
        <w:tc>
          <w:tcPr>
            <w:tcW w:w="7071" w:type="dxa"/>
            <w:hideMark/>
          </w:tcPr>
          <w:p w:rsidR="008A7D96" w:rsidRPr="00FE1E8B" w:rsidRDefault="008A7D96" w:rsidP="00645E6F">
            <w:pPr>
              <w:widowControl w:val="0"/>
              <w:spacing w:before="100" w:beforeAutospacing="1" w:after="120" w:line="144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3D3F">
              <w:rPr>
                <w:rFonts w:ascii="Arial" w:eastAsia="Times New Roman" w:hAnsi="Arial" w:cs="Arial"/>
                <w:sz w:val="20"/>
                <w:szCs w:val="20"/>
              </w:rPr>
              <w:t>Una enfermedad o daño que hace imposible que el niño físicamente asiste en la escuela</w:t>
            </w: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A7D96" w:rsidRPr="00FE1E8B" w:rsidTr="00645E6F">
        <w:trPr>
          <w:cantSplit/>
          <w:trHeight w:val="405"/>
        </w:trPr>
        <w:tc>
          <w:tcPr>
            <w:tcW w:w="0" w:type="auto"/>
            <w:vMerge/>
            <w:vAlign w:val="center"/>
            <w:hideMark/>
          </w:tcPr>
          <w:p w:rsidR="008A7D96" w:rsidRPr="00FE1E8B" w:rsidRDefault="008A7D96" w:rsidP="00645E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35" w:type="dxa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A7D96" w:rsidRPr="00FE1E8B" w:rsidRDefault="008A7D96" w:rsidP="00645E6F">
            <w:pPr>
              <w:widowControl w:val="0"/>
              <w:spacing w:before="100" w:beforeAutospacing="1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B.</w:t>
            </w:r>
          </w:p>
        </w:tc>
        <w:tc>
          <w:tcPr>
            <w:tcW w:w="7071" w:type="dxa"/>
            <w:hideMark/>
          </w:tcPr>
          <w:p w:rsidR="008A7D96" w:rsidRPr="00FE1E8B" w:rsidRDefault="008A7D96" w:rsidP="00645E6F">
            <w:pPr>
              <w:widowControl w:val="0"/>
              <w:spacing w:before="100" w:beforeAutospacing="1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3D3F">
              <w:rPr>
                <w:rFonts w:ascii="Arial" w:eastAsia="Times New Roman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aislamiento del niñ</w:t>
            </w:r>
            <w:r w:rsidRPr="00953D3F">
              <w:rPr>
                <w:rFonts w:ascii="Arial" w:eastAsia="Times New Roman" w:hAnsi="Arial" w:cs="Arial"/>
                <w:sz w:val="20"/>
                <w:szCs w:val="20"/>
              </w:rPr>
              <w:t>o ordenado por el Dep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art</w:t>
            </w:r>
            <w:r w:rsidRPr="00953D3F">
              <w:rPr>
                <w:rFonts w:ascii="Arial" w:eastAsia="Times New Roman" w:hAnsi="Arial" w:cs="Arial"/>
                <w:sz w:val="20"/>
                <w:szCs w:val="20"/>
              </w:rPr>
              <w:t>amento de Salud del Condado de Wake o por 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 Directiva de Salud del E</w:t>
            </w:r>
            <w:r w:rsidRPr="00953D3F">
              <w:rPr>
                <w:rFonts w:ascii="Arial" w:eastAsia="Times New Roman" w:hAnsi="Arial" w:cs="Arial"/>
                <w:sz w:val="20"/>
                <w:szCs w:val="20"/>
              </w:rPr>
              <w:t>stado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A7D96" w:rsidRPr="00FE1E8B" w:rsidTr="00645E6F">
        <w:trPr>
          <w:cantSplit/>
          <w:trHeight w:val="135"/>
        </w:trPr>
        <w:tc>
          <w:tcPr>
            <w:tcW w:w="0" w:type="auto"/>
            <w:vMerge/>
            <w:vAlign w:val="center"/>
            <w:hideMark/>
          </w:tcPr>
          <w:p w:rsidR="008A7D96" w:rsidRPr="00FE1E8B" w:rsidRDefault="008A7D96" w:rsidP="00645E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35" w:type="dxa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A7D96" w:rsidRPr="00FE1E8B" w:rsidRDefault="008A7D96" w:rsidP="00645E6F">
            <w:pPr>
              <w:widowControl w:val="0"/>
              <w:spacing w:before="100" w:beforeAutospacing="1" w:after="120" w:line="13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C.</w:t>
            </w:r>
          </w:p>
        </w:tc>
        <w:tc>
          <w:tcPr>
            <w:tcW w:w="7071" w:type="dxa"/>
            <w:hideMark/>
          </w:tcPr>
          <w:p w:rsidR="008A7D96" w:rsidRPr="00FE1E8B" w:rsidRDefault="008A7D96" w:rsidP="00645E6F">
            <w:pPr>
              <w:widowControl w:val="0"/>
              <w:spacing w:before="100" w:beforeAutospacing="1" w:after="120" w:line="13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3D3F">
              <w:rPr>
                <w:rFonts w:ascii="Arial" w:eastAsia="Times New Roman" w:hAnsi="Arial" w:cs="Arial"/>
                <w:sz w:val="20"/>
                <w:szCs w:val="20"/>
              </w:rPr>
              <w:t xml:space="preserve">Una muerte en la </w:t>
            </w:r>
            <w:r w:rsidRPr="00953D3F">
              <w:rPr>
                <w:rFonts w:ascii="Arial" w:eastAsia="Times New Roman" w:hAnsi="Arial" w:cs="Arial"/>
                <w:b/>
                <w:sz w:val="20"/>
                <w:szCs w:val="20"/>
              </w:rPr>
              <w:t>familia de inmediata.</w:t>
            </w:r>
          </w:p>
        </w:tc>
      </w:tr>
      <w:tr w:rsidR="008A7D96" w:rsidRPr="00FE1E8B" w:rsidTr="00645E6F">
        <w:trPr>
          <w:cantSplit/>
          <w:trHeight w:val="633"/>
        </w:trPr>
        <w:tc>
          <w:tcPr>
            <w:tcW w:w="0" w:type="auto"/>
            <w:vMerge/>
            <w:vAlign w:val="center"/>
            <w:hideMark/>
          </w:tcPr>
          <w:p w:rsidR="008A7D96" w:rsidRPr="00FE1E8B" w:rsidRDefault="008A7D96" w:rsidP="00645E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35" w:type="dxa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A7D96" w:rsidRPr="00FE1E8B" w:rsidRDefault="008A7D96" w:rsidP="00645E6F">
            <w:pPr>
              <w:widowControl w:val="0"/>
              <w:spacing w:before="100" w:beforeAutospacing="1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D.</w:t>
            </w:r>
          </w:p>
        </w:tc>
        <w:tc>
          <w:tcPr>
            <w:tcW w:w="7071" w:type="dxa"/>
            <w:hideMark/>
          </w:tcPr>
          <w:p w:rsidR="008A7D96" w:rsidRPr="00FE1E8B" w:rsidRDefault="008A7D96" w:rsidP="00645E6F">
            <w:pPr>
              <w:widowControl w:val="0"/>
              <w:spacing w:before="100" w:beforeAutospacing="1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3D3F">
              <w:rPr>
                <w:rFonts w:ascii="Arial" w:eastAsia="Times New Roman" w:hAnsi="Arial" w:cs="Arial"/>
                <w:sz w:val="20"/>
                <w:szCs w:val="20"/>
              </w:rPr>
              <w:t xml:space="preserve">Una cita médica, dental o con otro tipo de </w:t>
            </w:r>
            <w:r w:rsidRPr="00953D3F">
              <w:rPr>
                <w:rFonts w:ascii="Verdana" w:hAnsi="Verdana" w:cs="Arial"/>
                <w:color w:val="3E3E3E"/>
                <w:sz w:val="20"/>
                <w:szCs w:val="20"/>
              </w:rPr>
              <w:t xml:space="preserve">Proveedor de salud para el estudiante o para un niño por la cual el estudiante es el pariente custodial   </w:t>
            </w: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A7D96" w:rsidRPr="00FE1E8B" w:rsidTr="00645E6F">
        <w:trPr>
          <w:cantSplit/>
          <w:trHeight w:val="207"/>
        </w:trPr>
        <w:tc>
          <w:tcPr>
            <w:tcW w:w="0" w:type="auto"/>
            <w:vMerge/>
            <w:vAlign w:val="center"/>
            <w:hideMark/>
          </w:tcPr>
          <w:p w:rsidR="008A7D96" w:rsidRPr="00FE1E8B" w:rsidRDefault="008A7D96" w:rsidP="00645E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35" w:type="dxa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A7D96" w:rsidRPr="00FE1E8B" w:rsidRDefault="008A7D96" w:rsidP="00645E6F">
            <w:pPr>
              <w:widowControl w:val="0"/>
              <w:spacing w:before="100" w:beforeAutospacing="1" w:after="120" w:line="207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E.</w:t>
            </w:r>
          </w:p>
        </w:tc>
        <w:tc>
          <w:tcPr>
            <w:tcW w:w="7071" w:type="dxa"/>
            <w:hideMark/>
          </w:tcPr>
          <w:p w:rsidR="008A7D96" w:rsidRPr="00FE1E8B" w:rsidRDefault="008A7D96" w:rsidP="00645E6F">
            <w:pPr>
              <w:widowControl w:val="0"/>
              <w:spacing w:before="100" w:beforeAutospacing="1" w:after="120" w:line="207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3D3F">
              <w:rPr>
                <w:rFonts w:ascii="Arial" w:eastAsia="Times New Roman" w:hAnsi="Arial" w:cs="Arial"/>
                <w:sz w:val="20"/>
                <w:szCs w:val="20"/>
              </w:rPr>
              <w:t xml:space="preserve">Una cita del corte cuando el estudiante esta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bajo una citación</w:t>
            </w: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A7D96" w:rsidRPr="005F4F71" w:rsidTr="00645E6F">
        <w:trPr>
          <w:cantSplit/>
          <w:trHeight w:val="216"/>
        </w:trPr>
        <w:tc>
          <w:tcPr>
            <w:tcW w:w="0" w:type="auto"/>
            <w:vMerge/>
            <w:vAlign w:val="center"/>
            <w:hideMark/>
          </w:tcPr>
          <w:p w:rsidR="008A7D96" w:rsidRPr="00FE1E8B" w:rsidRDefault="008A7D96" w:rsidP="00645E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35" w:type="dxa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A7D96" w:rsidRPr="00FE1E8B" w:rsidRDefault="008A7D96" w:rsidP="00645E6F">
            <w:pPr>
              <w:widowControl w:val="0"/>
              <w:spacing w:before="100" w:beforeAutospacing="1" w:after="120" w:line="216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F.</w:t>
            </w:r>
          </w:p>
        </w:tc>
        <w:tc>
          <w:tcPr>
            <w:tcW w:w="7071" w:type="dxa"/>
            <w:hideMark/>
          </w:tcPr>
          <w:p w:rsidR="008A7D96" w:rsidRPr="005F4F71" w:rsidRDefault="008A7D96" w:rsidP="00645E6F">
            <w:pPr>
              <w:widowControl w:val="0"/>
              <w:spacing w:before="100" w:beforeAutospacing="1" w:after="120" w:line="216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4F71">
              <w:rPr>
                <w:rFonts w:ascii="Arial" w:eastAsia="Times New Roman" w:hAnsi="Arial" w:cs="Arial"/>
                <w:sz w:val="20"/>
                <w:szCs w:val="20"/>
              </w:rPr>
              <w:t xml:space="preserve">Una observancia religiosa, lo cual es parte de la religión del estudiante o de los padres de los estudiantes.   </w:t>
            </w:r>
          </w:p>
        </w:tc>
      </w:tr>
      <w:tr w:rsidR="008A7D96" w:rsidRPr="005F4F71" w:rsidTr="00645E6F">
        <w:trPr>
          <w:cantSplit/>
          <w:trHeight w:val="720"/>
        </w:trPr>
        <w:tc>
          <w:tcPr>
            <w:tcW w:w="0" w:type="auto"/>
            <w:vMerge/>
            <w:vAlign w:val="center"/>
            <w:hideMark/>
          </w:tcPr>
          <w:p w:rsidR="008A7D96" w:rsidRPr="005F4F71" w:rsidRDefault="008A7D96" w:rsidP="00645E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35" w:type="dxa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A7D96" w:rsidRPr="00FE1E8B" w:rsidRDefault="008A7D96" w:rsidP="00645E6F">
            <w:pPr>
              <w:widowControl w:val="0"/>
              <w:spacing w:before="100" w:beforeAutospacing="1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G.</w:t>
            </w:r>
          </w:p>
          <w:p w:rsidR="008A7D96" w:rsidRPr="00FE1E8B" w:rsidRDefault="008A7D96" w:rsidP="00645E6F">
            <w:pPr>
              <w:widowControl w:val="0"/>
              <w:spacing w:before="100" w:beforeAutospacing="1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1" w:type="dxa"/>
            <w:hideMark/>
          </w:tcPr>
          <w:p w:rsidR="008A7D96" w:rsidRPr="005F4F71" w:rsidRDefault="008A7D96" w:rsidP="00645E6F">
            <w:pPr>
              <w:widowControl w:val="0"/>
              <w:spacing w:before="100" w:beforeAutospacing="1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4F71">
              <w:rPr>
                <w:rFonts w:ascii="Arial" w:eastAsia="Times New Roman" w:hAnsi="Arial" w:cs="Arial"/>
                <w:sz w:val="20"/>
                <w:szCs w:val="20"/>
              </w:rPr>
              <w:t xml:space="preserve">La participación en una oportunidad educacional valido, como los viajes con el permiso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dad en anticipación, como documentado en “Una Petición por Ausencias con Justificaciones Educacionales.”</w:t>
            </w:r>
          </w:p>
        </w:tc>
      </w:tr>
      <w:tr w:rsidR="008A7D96" w:rsidRPr="005F4F71" w:rsidTr="00645E6F">
        <w:trPr>
          <w:cantSplit/>
          <w:trHeight w:val="405"/>
        </w:trPr>
        <w:tc>
          <w:tcPr>
            <w:tcW w:w="1374" w:type="dxa"/>
            <w:vAlign w:val="center"/>
            <w:hideMark/>
          </w:tcPr>
          <w:p w:rsidR="008A7D96" w:rsidRPr="005F4F71" w:rsidRDefault="008A7D96" w:rsidP="00645E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4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A7D96" w:rsidRPr="00FE1E8B" w:rsidRDefault="008A7D96" w:rsidP="00645E6F">
            <w:pPr>
              <w:widowControl w:val="0"/>
              <w:spacing w:before="100" w:beforeAutospacing="1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H.</w:t>
            </w:r>
          </w:p>
        </w:tc>
        <w:tc>
          <w:tcPr>
            <w:tcW w:w="7071" w:type="dxa"/>
            <w:hideMark/>
          </w:tcPr>
          <w:p w:rsidR="008A7D96" w:rsidRPr="005F4F71" w:rsidRDefault="008A7D96" w:rsidP="00645E6F">
            <w:pPr>
              <w:widowControl w:val="0"/>
              <w:spacing w:before="100" w:beforeAutospacing="1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4F71">
              <w:rPr>
                <w:rFonts w:ascii="Arial" w:eastAsia="Times New Roman" w:hAnsi="Arial" w:cs="Arial"/>
                <w:sz w:val="20"/>
                <w:szCs w:val="20"/>
              </w:rPr>
              <w:t>Un ev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ento catastrófico o una catástrofe natural</w:t>
            </w:r>
            <w:r w:rsidRPr="005F4F7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A7D96" w:rsidRPr="00B21413" w:rsidTr="00645E6F">
        <w:tc>
          <w:tcPr>
            <w:tcW w:w="1374" w:type="dxa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A7D96" w:rsidRPr="00FE1E8B" w:rsidRDefault="008A7D96" w:rsidP="00645E6F">
            <w:pPr>
              <w:widowControl w:val="0"/>
              <w:spacing w:before="100" w:beforeAutospacing="1" w:after="100" w:afterAutospacing="1" w:line="240" w:lineRule="auto"/>
              <w:ind w:right="-8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6000.4</w:t>
            </w:r>
          </w:p>
        </w:tc>
        <w:tc>
          <w:tcPr>
            <w:tcW w:w="7806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A7D96" w:rsidRPr="00B21413" w:rsidRDefault="008A7D96" w:rsidP="00645E6F">
            <w:pPr>
              <w:widowControl w:val="0"/>
              <w:spacing w:before="100" w:beforeAutospacing="1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4F71">
              <w:rPr>
                <w:rFonts w:ascii="Arial" w:eastAsia="Times New Roman" w:hAnsi="Arial" w:cs="Arial"/>
                <w:sz w:val="20"/>
                <w:szCs w:val="20"/>
              </w:rPr>
              <w:t>Ausencias no clasificadas como justificada por la plaza 6000.3 son clasificadas como “sin justificación.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” El estudiante es responsable para presentar una nota firmada por los padres citando la razón por la ausencia a la </w:t>
            </w:r>
            <w:r w:rsidRPr="005F4F71">
              <w:rPr>
                <w:rFonts w:ascii="Verdana" w:hAnsi="Verdana" w:cs="Arial"/>
                <w:color w:val="3E3E3E"/>
                <w:sz w:val="20"/>
                <w:szCs w:val="20"/>
              </w:rPr>
              <w:t xml:space="preserve">persona nombrada por la directora dentro de dos (2) días del regreso del estudiante a la escuela. </w:t>
            </w:r>
            <w:r w:rsidRPr="00B21413">
              <w:rPr>
                <w:rFonts w:ascii="Verdana" w:hAnsi="Verdana" w:cs="Arial"/>
                <w:color w:val="3E3E3E"/>
                <w:sz w:val="20"/>
                <w:szCs w:val="20"/>
              </w:rPr>
              <w:t>No cumplir con este póliza resul</w:t>
            </w:r>
            <w:r>
              <w:rPr>
                <w:rFonts w:ascii="Verdana" w:hAnsi="Verdana" w:cs="Arial"/>
                <w:color w:val="3E3E3E"/>
                <w:sz w:val="20"/>
                <w:szCs w:val="20"/>
              </w:rPr>
              <w:t>tará</w:t>
            </w:r>
            <w:r w:rsidRPr="00B21413">
              <w:rPr>
                <w:rFonts w:ascii="Verdana" w:hAnsi="Verdana" w:cs="Arial"/>
                <w:color w:val="3E3E3E"/>
                <w:sz w:val="20"/>
                <w:szCs w:val="20"/>
              </w:rPr>
              <w:t xml:space="preserve"> en clasificar la ausencia como sin justificación.</w:t>
            </w:r>
          </w:p>
        </w:tc>
      </w:tr>
      <w:tr w:rsidR="008A7D96" w:rsidRPr="00B21413" w:rsidTr="00645E6F">
        <w:tc>
          <w:tcPr>
            <w:tcW w:w="1374" w:type="dxa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A7D96" w:rsidRPr="00FE1E8B" w:rsidRDefault="008A7D96" w:rsidP="00645E6F">
            <w:pPr>
              <w:widowControl w:val="0"/>
              <w:spacing w:before="100" w:beforeAutospacing="1" w:after="100" w:afterAutospacing="1" w:line="240" w:lineRule="auto"/>
              <w:ind w:right="-8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6000.5</w:t>
            </w:r>
          </w:p>
        </w:tc>
        <w:tc>
          <w:tcPr>
            <w:tcW w:w="7806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A7D96" w:rsidRPr="00B21413" w:rsidRDefault="008A7D96" w:rsidP="00645E6F">
            <w:pPr>
              <w:widowControl w:val="0"/>
              <w:spacing w:before="100" w:beforeAutospacing="1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A7D96">
              <w:rPr>
                <w:rFonts w:ascii="Arial" w:eastAsia="Times New Roman" w:hAnsi="Arial" w:cs="Arial"/>
                <w:sz w:val="20"/>
                <w:szCs w:val="20"/>
              </w:rPr>
              <w:t xml:space="preserve">Pare todas las ausencias, el estudiante recuperar todas sus tareas de casa de manera oportuna a la conveniencia de la maestro.           </w:t>
            </w: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For all absences, the student shall make up all work in a timely manner at the convenience of the teacher. The make-up work may be specific material missed by the student, reinforcement, or enrichment.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1413">
              <w:rPr>
                <w:rFonts w:ascii="Arial" w:eastAsia="Times New Roman" w:hAnsi="Arial" w:cs="Arial"/>
                <w:sz w:val="20"/>
                <w:szCs w:val="20"/>
              </w:rPr>
              <w:t>Las sus tareas de casa recuperativas pueden ser la material perdida por el estudiante de tipo de 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fuerzo o </w:t>
            </w:r>
            <w:r w:rsidRPr="00B21413">
              <w:rPr>
                <w:rStyle w:val="hw1"/>
                <w:rFonts w:ascii="Arial" w:hAnsi="Arial" w:cs="Arial"/>
                <w:b w:val="0"/>
                <w:sz w:val="18"/>
                <w:szCs w:val="18"/>
                <w:u w:val="none"/>
              </w:rPr>
              <w:t>enriquecimiento</w:t>
            </w:r>
            <w:r>
              <w:rPr>
                <w:rStyle w:val="hw1"/>
                <w:rFonts w:ascii="Arial" w:hAnsi="Arial" w:cs="Arial"/>
                <w:b w:val="0"/>
                <w:sz w:val="18"/>
                <w:szCs w:val="18"/>
                <w:u w:val="none"/>
              </w:rPr>
              <w:t>.</w:t>
            </w:r>
          </w:p>
        </w:tc>
      </w:tr>
      <w:tr w:rsidR="008A7D96" w:rsidRPr="008A7D96" w:rsidTr="00645E6F">
        <w:tc>
          <w:tcPr>
            <w:tcW w:w="1374" w:type="dxa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A7D96" w:rsidRPr="00FE1E8B" w:rsidRDefault="008A7D96" w:rsidP="00645E6F">
            <w:pPr>
              <w:widowControl w:val="0"/>
              <w:spacing w:before="100" w:beforeAutospacing="1" w:after="100" w:afterAutospacing="1" w:line="240" w:lineRule="auto"/>
              <w:ind w:right="-86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E8B">
              <w:rPr>
                <w:rFonts w:ascii="Arial" w:eastAsia="Times New Roman" w:hAnsi="Arial" w:cs="Arial"/>
                <w:sz w:val="20"/>
                <w:szCs w:val="20"/>
              </w:rPr>
              <w:t>6000.6</w:t>
            </w:r>
          </w:p>
        </w:tc>
        <w:tc>
          <w:tcPr>
            <w:tcW w:w="7806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A7D96" w:rsidRPr="008A7D96" w:rsidRDefault="008A7D96" w:rsidP="00645E6F">
            <w:pPr>
              <w:widowControl w:val="0"/>
              <w:spacing w:before="100" w:beforeAutospacing="1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A7D96">
              <w:rPr>
                <w:rFonts w:ascii="Arial" w:eastAsia="Times New Roman" w:hAnsi="Arial" w:cs="Arial"/>
                <w:sz w:val="20"/>
                <w:szCs w:val="20"/>
              </w:rPr>
              <w:t xml:space="preserve">Las ausencias excesivas tendrán consecuencias académicas graves y pueden resultar en no aprobar una clase o un grado </w:t>
            </w:r>
          </w:p>
        </w:tc>
      </w:tr>
    </w:tbl>
    <w:p w:rsidR="00A73AD1" w:rsidRDefault="00A73AD1"/>
    <w:sectPr w:rsidR="00A73AD1" w:rsidSect="00A7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96"/>
    <w:rsid w:val="00161C6F"/>
    <w:rsid w:val="008215A0"/>
    <w:rsid w:val="008A7D96"/>
    <w:rsid w:val="00A73AD1"/>
    <w:rsid w:val="00C306D7"/>
    <w:rsid w:val="00E565F8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1">
    <w:name w:val="hw1"/>
    <w:basedOn w:val="DefaultParagraphFont"/>
    <w:rsid w:val="008A7D96"/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1">
    <w:name w:val="hw1"/>
    <w:basedOn w:val="DefaultParagraphFont"/>
    <w:rsid w:val="008A7D96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Kristen Davison</cp:lastModifiedBy>
  <cp:revision>2</cp:revision>
  <dcterms:created xsi:type="dcterms:W3CDTF">2015-02-04T17:53:00Z</dcterms:created>
  <dcterms:modified xsi:type="dcterms:W3CDTF">2015-02-04T17:53:00Z</dcterms:modified>
</cp:coreProperties>
</file>